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6AEA4" w14:textId="77777777" w:rsidR="002C2883" w:rsidRDefault="0091219C">
      <w:pPr>
        <w:widowControl/>
        <w:shd w:val="clear" w:color="auto" w:fill="FFFFFF"/>
        <w:spacing w:before="540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南昌大学法学院欢迎优秀推免生报名！</w:t>
      </w:r>
    </w:p>
    <w:p w14:paraId="54B6C2A9" w14:textId="77777777" w:rsidR="002C2883" w:rsidRDefault="0091219C">
      <w:pPr>
        <w:widowControl/>
        <w:shd w:val="clear" w:color="auto" w:fill="FFFFFF"/>
        <w:spacing w:before="540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南昌大学是国家“双一流”计划世界一流学科建设高校、教育部与江西省部省合建高校、国家“</w:t>
      </w:r>
      <w:r>
        <w:rPr>
          <w:rFonts w:ascii="仿宋" w:eastAsia="仿宋" w:hAnsi="仿宋" w:cs="仿宋" w:hint="eastAsia"/>
          <w:color w:val="000000" w:themeColor="text1"/>
          <w:sz w:val="24"/>
        </w:rPr>
        <w:t>211</w:t>
      </w:r>
      <w:r>
        <w:rPr>
          <w:rFonts w:ascii="仿宋" w:eastAsia="仿宋" w:hAnsi="仿宋" w:cs="仿宋" w:hint="eastAsia"/>
          <w:color w:val="000000" w:themeColor="text1"/>
          <w:sz w:val="24"/>
        </w:rPr>
        <w:t>工程”重点建设高校、江西省高水平大学整体建设高校。学校地处“英雄城”南昌市，拥有前湖、青山湖、东湖、鄱阳湖</w:t>
      </w:r>
      <w:r>
        <w:rPr>
          <w:rFonts w:ascii="仿宋" w:eastAsia="仿宋" w:hAnsi="仿宋" w:cs="仿宋" w:hint="eastAsia"/>
          <w:color w:val="000000" w:themeColor="text1"/>
          <w:sz w:val="24"/>
        </w:rPr>
        <w:t>4</w:t>
      </w:r>
      <w:r>
        <w:rPr>
          <w:rFonts w:ascii="仿宋" w:eastAsia="仿宋" w:hAnsi="仿宋" w:cs="仿宋" w:hint="eastAsia"/>
          <w:color w:val="000000" w:themeColor="text1"/>
          <w:sz w:val="24"/>
        </w:rPr>
        <w:t>个校区，其中</w:t>
      </w:r>
      <w:proofErr w:type="gramStart"/>
      <w:r>
        <w:rPr>
          <w:rFonts w:ascii="仿宋" w:eastAsia="仿宋" w:hAnsi="仿宋" w:cs="仿宋" w:hint="eastAsia"/>
          <w:color w:val="000000" w:themeColor="text1"/>
          <w:sz w:val="24"/>
        </w:rPr>
        <w:t>前湖主</w:t>
      </w:r>
      <w:proofErr w:type="gramEnd"/>
      <w:r>
        <w:rPr>
          <w:rFonts w:ascii="仿宋" w:eastAsia="仿宋" w:hAnsi="仿宋" w:cs="仿宋" w:hint="eastAsia"/>
          <w:color w:val="000000" w:themeColor="text1"/>
          <w:sz w:val="24"/>
        </w:rPr>
        <w:t>校区占地面积</w:t>
      </w:r>
      <w:r>
        <w:rPr>
          <w:rFonts w:ascii="仿宋" w:eastAsia="仿宋" w:hAnsi="仿宋" w:cs="仿宋" w:hint="eastAsia"/>
          <w:color w:val="000000" w:themeColor="text1"/>
          <w:sz w:val="24"/>
        </w:rPr>
        <w:t>4321</w:t>
      </w:r>
      <w:r>
        <w:rPr>
          <w:rFonts w:ascii="仿宋" w:eastAsia="仿宋" w:hAnsi="仿宋" w:cs="仿宋" w:hint="eastAsia"/>
          <w:color w:val="000000" w:themeColor="text1"/>
          <w:sz w:val="24"/>
        </w:rPr>
        <w:t>亩，校舍建筑面积</w:t>
      </w:r>
      <w:r>
        <w:rPr>
          <w:rFonts w:ascii="仿宋" w:eastAsia="仿宋" w:hAnsi="仿宋" w:cs="仿宋" w:hint="eastAsia"/>
          <w:color w:val="000000" w:themeColor="text1"/>
          <w:sz w:val="24"/>
        </w:rPr>
        <w:t>150</w:t>
      </w:r>
      <w:r>
        <w:rPr>
          <w:rFonts w:ascii="仿宋" w:eastAsia="仿宋" w:hAnsi="仿宋" w:cs="仿宋" w:hint="eastAsia"/>
          <w:color w:val="000000" w:themeColor="text1"/>
          <w:sz w:val="24"/>
        </w:rPr>
        <w:t>万平方米。</w:t>
      </w:r>
      <w:r>
        <w:rPr>
          <w:rFonts w:ascii="仿宋" w:eastAsia="仿宋" w:hAnsi="仿宋" w:cs="仿宋" w:hint="eastAsia"/>
          <w:noProof/>
          <w:color w:val="000000" w:themeColor="text1"/>
          <w:sz w:val="24"/>
        </w:rPr>
        <w:drawing>
          <wp:inline distT="0" distB="0" distL="114300" distR="114300" wp14:anchorId="2C5465C8" wp14:editId="3CD182AC">
            <wp:extent cx="38100" cy="76200"/>
            <wp:effectExtent l="0" t="0" r="0" b="0"/>
            <wp:docPr id="11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color w:val="000000" w:themeColor="text1"/>
          <w:sz w:val="24"/>
        </w:rPr>
        <w:drawing>
          <wp:inline distT="0" distB="0" distL="114300" distR="114300" wp14:anchorId="4C8ED23B" wp14:editId="1E2401CB">
            <wp:extent cx="5273040" cy="3500120"/>
            <wp:effectExtent l="0" t="0" r="3810" b="5080"/>
            <wp:docPr id="13" name="图片 13" descr="src=http-%2F%2Fi2.qhimg.com%2Ft01b1c022c0fc949298.jpg&amp;refer=http-%2F%2Fi2.qh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src=http-%2F%2Fi2.qhimg.com%2Ft01b1c022c0fc949298.jpg&amp;refer=http-%2F%2Fi2.qhim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0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6BB9E" w14:textId="77777777" w:rsidR="002C2883" w:rsidRDefault="0091219C">
      <w:pPr>
        <w:pStyle w:val="a3"/>
        <w:widowControl/>
        <w:spacing w:before="330" w:beforeAutospacing="0" w:afterAutospacing="0" w:line="360" w:lineRule="atLeast"/>
        <w:ind w:firstLineChars="200" w:firstLine="480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南昌大学法</w:t>
      </w:r>
      <w:r>
        <w:rPr>
          <w:rFonts w:ascii="仿宋" w:eastAsia="仿宋" w:hAnsi="仿宋" w:cs="仿宋" w:hint="eastAsia"/>
          <w:color w:val="000000" w:themeColor="text1"/>
        </w:rPr>
        <w:t>学院</w:t>
      </w:r>
      <w:r>
        <w:rPr>
          <w:rFonts w:ascii="仿宋" w:eastAsia="仿宋" w:hAnsi="仿宋" w:cs="仿宋" w:hint="eastAsia"/>
          <w:color w:val="000000" w:themeColor="text1"/>
        </w:rPr>
        <w:t>现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设法学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和知识产权两个专业，</w:t>
      </w:r>
      <w:r>
        <w:rPr>
          <w:rFonts w:ascii="仿宋" w:eastAsia="仿宋" w:hAnsi="仿宋" w:cs="仿宋" w:hint="eastAsia"/>
          <w:color w:val="000000" w:themeColor="text1"/>
        </w:rPr>
        <w:t>法学专业</w:t>
      </w:r>
      <w:r>
        <w:rPr>
          <w:rFonts w:ascii="仿宋" w:eastAsia="仿宋" w:hAnsi="仿宋" w:cs="仿宋" w:hint="eastAsia"/>
          <w:color w:val="000000" w:themeColor="text1"/>
        </w:rPr>
        <w:t>系</w:t>
      </w:r>
      <w:r>
        <w:rPr>
          <w:rFonts w:ascii="仿宋" w:eastAsia="仿宋" w:hAnsi="仿宋" w:cs="仿宋" w:hint="eastAsia"/>
          <w:color w:val="000000" w:themeColor="text1"/>
        </w:rPr>
        <w:t>江西省一流特色专业（</w:t>
      </w:r>
      <w:r>
        <w:rPr>
          <w:rFonts w:ascii="仿宋" w:eastAsia="仿宋" w:hAnsi="仿宋" w:cs="仿宋" w:hint="eastAsia"/>
          <w:color w:val="000000" w:themeColor="text1"/>
        </w:rPr>
        <w:t>2019</w:t>
      </w:r>
      <w:r>
        <w:rPr>
          <w:rFonts w:ascii="仿宋" w:eastAsia="仿宋" w:hAnsi="仿宋" w:cs="仿宋" w:hint="eastAsia"/>
          <w:color w:val="000000" w:themeColor="text1"/>
        </w:rPr>
        <w:t>年），获批入选国家级一流本科专业建设点</w:t>
      </w:r>
      <w:r>
        <w:rPr>
          <w:rFonts w:ascii="仿宋" w:eastAsia="仿宋" w:hAnsi="仿宋" w:cs="仿宋" w:hint="eastAsia"/>
          <w:color w:val="000000" w:themeColor="text1"/>
        </w:rPr>
        <w:t>（</w:t>
      </w:r>
      <w:r>
        <w:rPr>
          <w:rFonts w:ascii="仿宋" w:eastAsia="仿宋" w:hAnsi="仿宋" w:cs="仿宋" w:hint="eastAsia"/>
          <w:color w:val="000000" w:themeColor="text1"/>
        </w:rPr>
        <w:t>2019</w:t>
      </w:r>
      <w:r>
        <w:rPr>
          <w:rFonts w:ascii="仿宋" w:eastAsia="仿宋" w:hAnsi="仿宋" w:cs="仿宋" w:hint="eastAsia"/>
          <w:color w:val="000000" w:themeColor="text1"/>
        </w:rPr>
        <w:t>年</w:t>
      </w:r>
      <w:r>
        <w:rPr>
          <w:rFonts w:ascii="仿宋" w:eastAsia="仿宋" w:hAnsi="仿宋" w:cs="仿宋" w:hint="eastAsia"/>
          <w:color w:val="000000" w:themeColor="text1"/>
        </w:rPr>
        <w:t>）</w:t>
      </w:r>
      <w:r>
        <w:rPr>
          <w:rFonts w:ascii="仿宋" w:eastAsia="仿宋" w:hAnsi="仿宋" w:cs="仿宋" w:hint="eastAsia"/>
          <w:color w:val="000000" w:themeColor="text1"/>
        </w:rPr>
        <w:t>。知识产权专业</w:t>
      </w:r>
      <w:r>
        <w:rPr>
          <w:rFonts w:ascii="仿宋" w:eastAsia="仿宋" w:hAnsi="仿宋" w:cs="仿宋" w:hint="eastAsia"/>
          <w:color w:val="000000" w:themeColor="text1"/>
        </w:rPr>
        <w:t>2020</w:t>
      </w:r>
      <w:r>
        <w:rPr>
          <w:rFonts w:ascii="仿宋" w:eastAsia="仿宋" w:hAnsi="仿宋" w:cs="仿宋" w:hint="eastAsia"/>
          <w:color w:val="000000" w:themeColor="text1"/>
        </w:rPr>
        <w:t>年获批入选省级一流本科专业建设点</w:t>
      </w:r>
      <w:r>
        <w:rPr>
          <w:rFonts w:ascii="仿宋" w:eastAsia="仿宋" w:hAnsi="仿宋" w:cs="仿宋" w:hint="eastAsia"/>
          <w:color w:val="000000" w:themeColor="text1"/>
        </w:rPr>
        <w:t>，</w:t>
      </w:r>
      <w:r>
        <w:rPr>
          <w:rFonts w:ascii="仿宋" w:eastAsia="仿宋" w:hAnsi="仿宋" w:cs="仿宋" w:hint="eastAsia"/>
          <w:color w:val="000000" w:themeColor="text1"/>
        </w:rPr>
        <w:t>并自主增设知识产权法学硕士学位授予权。学院现有</w:t>
      </w:r>
      <w:r>
        <w:rPr>
          <w:rFonts w:ascii="仿宋" w:eastAsia="仿宋" w:hAnsi="仿宋" w:cs="仿宋" w:hint="eastAsia"/>
          <w:color w:val="000000" w:themeColor="text1"/>
        </w:rPr>
        <w:t>1</w:t>
      </w:r>
      <w:r>
        <w:rPr>
          <w:rFonts w:ascii="仿宋" w:eastAsia="仿宋" w:hAnsi="仿宋" w:cs="仿宋" w:hint="eastAsia"/>
          <w:color w:val="000000" w:themeColor="text1"/>
        </w:rPr>
        <w:t>个江西省高校人文社会科学重点研究基地——南昌大学（江西地方）立法研究中心、</w:t>
      </w:r>
      <w:r>
        <w:rPr>
          <w:rFonts w:ascii="仿宋" w:eastAsia="仿宋" w:hAnsi="仿宋" w:cs="仿宋" w:hint="eastAsia"/>
          <w:color w:val="000000" w:themeColor="text1"/>
        </w:rPr>
        <w:t>1</w:t>
      </w:r>
      <w:r>
        <w:rPr>
          <w:rFonts w:ascii="仿宋" w:eastAsia="仿宋" w:hAnsi="仿宋" w:cs="仿宋" w:hint="eastAsia"/>
          <w:color w:val="000000" w:themeColor="text1"/>
        </w:rPr>
        <w:t>个江西省品牌专业（法学）、江西省第</w:t>
      </w:r>
      <w:r>
        <w:rPr>
          <w:rFonts w:ascii="仿宋" w:eastAsia="仿宋" w:hAnsi="仿宋" w:cs="仿宋" w:hint="eastAsia"/>
          <w:color w:val="000000" w:themeColor="text1"/>
        </w:rPr>
        <w:t>1</w:t>
      </w:r>
      <w:r>
        <w:rPr>
          <w:rFonts w:ascii="仿宋" w:eastAsia="仿宋" w:hAnsi="仿宋" w:cs="仿宋" w:hint="eastAsia"/>
          <w:color w:val="000000" w:themeColor="text1"/>
        </w:rPr>
        <w:t>个法学类哲学社会科学重点研究基地——南昌大学法治江西建设研究中心、江西省法治教育立法研究分中心。学院现有社会治理与法治系统工程二级学科博士学位授权点、法学一级学科硕士学位授权点、法律硕士（非法学、法学）专业学位授权点。</w:t>
      </w:r>
    </w:p>
    <w:p w14:paraId="5468574B" w14:textId="77777777" w:rsidR="002C2883" w:rsidRDefault="0091219C">
      <w:pPr>
        <w:pStyle w:val="a3"/>
        <w:widowControl/>
        <w:spacing w:before="330" w:beforeAutospacing="0" w:afterAutospacing="0" w:line="360" w:lineRule="atLeast"/>
        <w:ind w:firstLineChars="200" w:firstLine="480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南昌大学法学院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从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9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28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日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起接收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2022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年推免生报名，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欢迎获得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本科高校推荐资格且有意申请免试攻读我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院全日制统招法学学术型硕士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研究生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、法律硕士（非法学）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的同学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积极报名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。</w:t>
      </w:r>
    </w:p>
    <w:p w14:paraId="41E9A93F" w14:textId="77777777" w:rsidR="002C2883" w:rsidRDefault="0091219C">
      <w:pPr>
        <w:pStyle w:val="a3"/>
        <w:widowControl/>
        <w:spacing w:before="330" w:beforeAutospacing="0" w:afterAutospacing="0" w:line="360" w:lineRule="atLeast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开放时间：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2021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9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8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日。</w:t>
      </w:r>
    </w:p>
    <w:p w14:paraId="3C0EADEE" w14:textId="77777777" w:rsidR="002C2883" w:rsidRDefault="0091219C">
      <w:pPr>
        <w:widowControl/>
        <w:shd w:val="clear" w:color="auto" w:fill="FFFFFF"/>
        <w:spacing w:before="54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noProof/>
          <w:color w:val="000000" w:themeColor="text1"/>
          <w:sz w:val="24"/>
        </w:rPr>
        <w:lastRenderedPageBreak/>
        <w:drawing>
          <wp:inline distT="0" distB="0" distL="114300" distR="114300" wp14:anchorId="666592D9" wp14:editId="61BF8152">
            <wp:extent cx="5266690" cy="3168650"/>
            <wp:effectExtent l="0" t="0" r="10160" b="12700"/>
            <wp:docPr id="16" name="图片 16" descr="src=http-%2F%2Fnimg.ws.126.net%2F-url=http%3A%2F%2Fdingyue.ws.126.net%2F2021%2F0415%2F13bdf94ej00qrliai0013c000hs00apg.jpg&amp;thumbnail=650x2147483647&amp;quality=80&amp;type=jpg&amp;refer=http-%2F%2Fnimg.ws.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src=http-%2F%2Fnimg.ws.126.net%2F-url=http%3A%2F%2Fdingyue.ws.126.net%2F2021%2F0415%2F13bdf94ej00qrliai0013c000hs00apg.jpg&amp;thumbnail=650x2147483647&amp;quality=80&amp;type=jpg&amp;refer=http-%2F%2Fnimg.ws.12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6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34759" w14:textId="77777777" w:rsidR="002C2883" w:rsidRDefault="0091219C">
      <w:pPr>
        <w:pStyle w:val="a3"/>
        <w:widowControl/>
        <w:spacing w:before="540" w:beforeAutospacing="0" w:afterAutospacing="0" w:line="360" w:lineRule="atLeast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一、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申请条件</w:t>
      </w:r>
    </w:p>
    <w:p w14:paraId="3C44EA8A" w14:textId="77777777" w:rsidR="002C2883" w:rsidRDefault="0091219C">
      <w:pPr>
        <w:pStyle w:val="a3"/>
        <w:widowControl/>
        <w:spacing w:beforeAutospacing="0" w:afterAutospacing="0"/>
        <w:ind w:firstLine="555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1</w:t>
      </w:r>
      <w:r>
        <w:rPr>
          <w:rFonts w:ascii="仿宋" w:eastAsia="仿宋" w:hAnsi="仿宋" w:cs="仿宋" w:hint="eastAsia"/>
          <w:color w:val="000000" w:themeColor="text1"/>
        </w:rPr>
        <w:t>、申请人必须是具有推荐免试授权高校的应届本科毕业生，并获得所在院校推荐免试资格，占用其本科就读学校的推荐免试指标，推荐手续完备，材料齐全；</w:t>
      </w:r>
    </w:p>
    <w:p w14:paraId="3AE6755E" w14:textId="77777777" w:rsidR="002C2883" w:rsidRDefault="0091219C">
      <w:pPr>
        <w:pStyle w:val="a3"/>
        <w:widowControl/>
        <w:spacing w:beforeAutospacing="0" w:afterAutospacing="0"/>
        <w:ind w:firstLine="555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2</w:t>
      </w:r>
      <w:r>
        <w:rPr>
          <w:rFonts w:ascii="仿宋" w:eastAsia="仿宋" w:hAnsi="仿宋" w:cs="仿宋" w:hint="eastAsia"/>
          <w:color w:val="000000" w:themeColor="text1"/>
        </w:rPr>
        <w:t>、</w:t>
      </w:r>
      <w:r>
        <w:rPr>
          <w:rFonts w:ascii="仿宋" w:eastAsia="仿宋" w:hAnsi="仿宋" w:cs="仿宋" w:hint="eastAsia"/>
          <w:color w:val="000000" w:themeColor="text1"/>
        </w:rPr>
        <w:t>202</w:t>
      </w:r>
      <w:r>
        <w:rPr>
          <w:rFonts w:ascii="仿宋" w:eastAsia="仿宋" w:hAnsi="仿宋" w:cs="仿宋" w:hint="eastAsia"/>
          <w:color w:val="000000" w:themeColor="text1"/>
        </w:rPr>
        <w:t>2</w:t>
      </w:r>
      <w:r>
        <w:rPr>
          <w:rFonts w:ascii="仿宋" w:eastAsia="仿宋" w:hAnsi="仿宋" w:cs="仿宋" w:hint="eastAsia"/>
          <w:color w:val="000000" w:themeColor="text1"/>
        </w:rPr>
        <w:t>年</w:t>
      </w:r>
      <w:r>
        <w:rPr>
          <w:rFonts w:ascii="仿宋" w:eastAsia="仿宋" w:hAnsi="仿宋" w:cs="仿宋" w:hint="eastAsia"/>
          <w:color w:val="000000" w:themeColor="text1"/>
        </w:rPr>
        <w:t>9</w:t>
      </w:r>
      <w:r>
        <w:rPr>
          <w:rFonts w:ascii="仿宋" w:eastAsia="仿宋" w:hAnsi="仿宋" w:cs="仿宋" w:hint="eastAsia"/>
          <w:color w:val="000000" w:themeColor="text1"/>
        </w:rPr>
        <w:t>月</w:t>
      </w:r>
      <w:r>
        <w:rPr>
          <w:rFonts w:ascii="仿宋" w:eastAsia="仿宋" w:hAnsi="仿宋" w:cs="仿宋" w:hint="eastAsia"/>
          <w:color w:val="000000" w:themeColor="text1"/>
        </w:rPr>
        <w:t>1</w:t>
      </w:r>
      <w:r>
        <w:rPr>
          <w:rFonts w:ascii="仿宋" w:eastAsia="仿宋" w:hAnsi="仿宋" w:cs="仿宋" w:hint="eastAsia"/>
          <w:color w:val="000000" w:themeColor="text1"/>
        </w:rPr>
        <w:t>日前获得本科毕业证书、学士学位证书。</w:t>
      </w:r>
    </w:p>
    <w:p w14:paraId="36316AB2" w14:textId="77777777" w:rsidR="002C2883" w:rsidRDefault="0091219C">
      <w:pPr>
        <w:widowControl/>
        <w:shd w:val="clear" w:color="auto" w:fill="FFFFFF"/>
        <w:spacing w:before="54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noProof/>
          <w:color w:val="000000" w:themeColor="text1"/>
          <w:sz w:val="24"/>
        </w:rPr>
        <w:drawing>
          <wp:inline distT="0" distB="0" distL="114300" distR="114300" wp14:anchorId="0AD1159D" wp14:editId="1236CDF4">
            <wp:extent cx="5266690" cy="2965450"/>
            <wp:effectExtent l="0" t="0" r="10160" b="6350"/>
            <wp:docPr id="17" name="图片 17" descr="src=http-%2F%2Fnimg.ws.126.net%2F-url=http%3A%2F%2Fdingyue.ws.126.net%2F2021%2F0801%2Ff422d0baj00qx5cs70010c000k000b9c.jpg&amp;thumbnail=650x2147483647&amp;quality=80&amp;type=jpg&amp;refer=http-%2F%2Fnimg.ws.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src=http-%2F%2Fnimg.ws.126.net%2F-url=http%3A%2F%2Fdingyue.ws.126.net%2F2021%2F0801%2Ff422d0baj00qx5cs70010c000k000b9c.jpg&amp;thumbnail=650x2147483647&amp;quality=80&amp;type=jpg&amp;refer=http-%2F%2Fnimg.ws.12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6F673" w14:textId="77777777" w:rsidR="002C2883" w:rsidRDefault="0091219C">
      <w:pPr>
        <w:pStyle w:val="a3"/>
        <w:widowControl/>
        <w:spacing w:before="540" w:beforeAutospacing="0" w:afterAutospacing="0" w:line="360" w:lineRule="atLeast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二、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招生专业</w:t>
      </w:r>
    </w:p>
    <w:p w14:paraId="71B94DB3" w14:textId="51A96225" w:rsidR="002C2883" w:rsidRDefault="0091219C">
      <w:pPr>
        <w:pStyle w:val="a3"/>
        <w:widowControl/>
        <w:spacing w:before="330" w:beforeAutospacing="0" w:afterAutospacing="0" w:line="360" w:lineRule="atLeast"/>
        <w:ind w:firstLineChars="200" w:firstLine="480"/>
        <w:rPr>
          <w:rFonts w:ascii="仿宋" w:eastAsia="仿宋" w:hAnsi="仿宋" w:cs="仿宋"/>
          <w:color w:val="000000" w:themeColor="text1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lastRenderedPageBreak/>
        <w:t>我院招收推荐免试攻读的专业为全日制法学硕士研究生</w:t>
      </w:r>
      <w:r w:rsidR="00044BC5">
        <w:rPr>
          <w:rFonts w:ascii="仿宋" w:eastAsia="仿宋" w:hAnsi="仿宋" w:cs="仿宋" w:hint="eastAsia"/>
          <w:color w:val="000000" w:themeColor="text1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全日制法律（非法学）研究生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。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详见《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南昌大学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202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年接收推荐免试攻读硕士学位研究生专业目录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》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登陆报名后可详细查看，或可直接咨询相关招生学院。</w:t>
      </w:r>
    </w:p>
    <w:p w14:paraId="6CE6C782" w14:textId="77777777" w:rsidR="002C2883" w:rsidRDefault="0091219C">
      <w:pPr>
        <w:pStyle w:val="a3"/>
        <w:widowControl/>
        <w:spacing w:beforeAutospacing="0" w:afterAutospacing="0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三、申请与选拔考核程序</w:t>
      </w:r>
    </w:p>
    <w:p w14:paraId="6C80AD40" w14:textId="77777777" w:rsidR="002C2883" w:rsidRDefault="0091219C">
      <w:pPr>
        <w:pStyle w:val="a3"/>
        <w:widowControl/>
        <w:spacing w:beforeAutospacing="0" w:afterAutospacing="0"/>
        <w:ind w:firstLine="555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我校接收推荐免试攻读硕士学位研究生的基本程序如下：</w:t>
      </w:r>
    </w:p>
    <w:p w14:paraId="1F83672A" w14:textId="77777777" w:rsidR="002C2883" w:rsidRDefault="0091219C">
      <w:pPr>
        <w:pStyle w:val="a3"/>
        <w:widowControl/>
        <w:spacing w:beforeAutospacing="0" w:afterAutospacing="0"/>
        <w:ind w:firstLine="555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1</w:t>
      </w:r>
      <w:r>
        <w:rPr>
          <w:rFonts w:ascii="仿宋" w:eastAsia="仿宋" w:hAnsi="仿宋" w:cs="仿宋" w:hint="eastAsia"/>
          <w:color w:val="000000" w:themeColor="text1"/>
        </w:rPr>
        <w:t>、考生填报专业志愿。获得推免生资格的应届本科毕业生确定拟申请的专业后，在中国研究生招生信息网（以下简称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研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招网）的“推免服务系统”（网址：</w:t>
      </w:r>
      <w:hyperlink r:id="rId11" w:tgtFrame="http://yjsy.ncu.edu.cn/tzgg/_self" w:history="1">
        <w:r>
          <w:rPr>
            <w:rStyle w:val="a4"/>
            <w:rFonts w:ascii="仿宋" w:eastAsia="仿宋" w:hAnsi="仿宋" w:cs="仿宋" w:hint="eastAsia"/>
            <w:color w:val="000000" w:themeColor="text1"/>
            <w:u w:val="none"/>
          </w:rPr>
          <w:t>https://yz.chsi.com.cn/tm/</w:t>
        </w:r>
      </w:hyperlink>
      <w:r>
        <w:rPr>
          <w:rFonts w:ascii="仿宋" w:eastAsia="仿宋" w:hAnsi="仿宋" w:cs="仿宋" w:hint="eastAsia"/>
          <w:color w:val="000000" w:themeColor="text1"/>
        </w:rPr>
        <w:t>）填报专业志愿；学院严格按照复试条件审查考生报名材料。</w:t>
      </w:r>
    </w:p>
    <w:p w14:paraId="0F1973ED" w14:textId="77777777" w:rsidR="002C2883" w:rsidRDefault="0091219C">
      <w:pPr>
        <w:pStyle w:val="a3"/>
        <w:widowControl/>
        <w:spacing w:beforeAutospacing="0" w:afterAutospacing="0"/>
        <w:ind w:firstLine="555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2</w:t>
      </w:r>
      <w:r>
        <w:rPr>
          <w:rFonts w:ascii="仿宋" w:eastAsia="仿宋" w:hAnsi="仿宋" w:cs="仿宋" w:hint="eastAsia"/>
          <w:color w:val="000000" w:themeColor="text1"/>
        </w:rPr>
        <w:t>、学校发出复试通知。学校的招生学院通过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研招网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“推免服务系统”向申请考生发出复试通知。考生接到复试通知后</w:t>
      </w:r>
      <w:r>
        <w:rPr>
          <w:rFonts w:ascii="仿宋" w:eastAsia="仿宋" w:hAnsi="仿宋" w:cs="仿宋" w:hint="eastAsia"/>
          <w:color w:val="000000" w:themeColor="text1"/>
        </w:rPr>
        <w:t>24</w:t>
      </w:r>
      <w:r>
        <w:rPr>
          <w:rFonts w:ascii="仿宋" w:eastAsia="仿宋" w:hAnsi="仿宋" w:cs="仿宋" w:hint="eastAsia"/>
          <w:color w:val="000000" w:themeColor="text1"/>
        </w:rPr>
        <w:t>小时内确认是否同意复试。</w:t>
      </w:r>
    </w:p>
    <w:p w14:paraId="5E811161" w14:textId="77777777" w:rsidR="002C2883" w:rsidRDefault="0091219C">
      <w:pPr>
        <w:pStyle w:val="a3"/>
        <w:widowControl/>
        <w:spacing w:beforeAutospacing="0" w:afterAutospacing="0"/>
        <w:ind w:firstLine="555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3</w:t>
      </w:r>
      <w:r>
        <w:rPr>
          <w:rFonts w:ascii="仿宋" w:eastAsia="仿宋" w:hAnsi="仿宋" w:cs="仿宋" w:hint="eastAsia"/>
          <w:color w:val="000000" w:themeColor="text1"/>
        </w:rPr>
        <w:t>、考生参加复试。同意参加本校复试的申请人，请在规定的时间内参加复试（复试报到时间由相关学院通知）。</w:t>
      </w:r>
    </w:p>
    <w:p w14:paraId="18849E9E" w14:textId="77777777" w:rsidR="002C2883" w:rsidRDefault="0091219C">
      <w:pPr>
        <w:pStyle w:val="a3"/>
        <w:widowControl/>
        <w:spacing w:beforeAutospacing="0" w:afterAutospacing="0"/>
        <w:ind w:firstLine="555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4</w:t>
      </w:r>
      <w:r>
        <w:rPr>
          <w:rFonts w:ascii="仿宋" w:eastAsia="仿宋" w:hAnsi="仿宋" w:cs="仿宋" w:hint="eastAsia"/>
          <w:color w:val="000000" w:themeColor="text1"/>
        </w:rPr>
        <w:t>、</w:t>
      </w:r>
      <w:r>
        <w:rPr>
          <w:rFonts w:ascii="仿宋" w:eastAsia="仿宋" w:hAnsi="仿宋" w:cs="仿宋" w:hint="eastAsia"/>
          <w:color w:val="000000" w:themeColor="text1"/>
        </w:rPr>
        <w:t>考生在复试报到时需交验以下书面材料：</w:t>
      </w:r>
    </w:p>
    <w:p w14:paraId="32C5C7D9" w14:textId="77777777" w:rsidR="002C2883" w:rsidRDefault="0091219C">
      <w:pPr>
        <w:pStyle w:val="a3"/>
        <w:widowControl/>
        <w:spacing w:beforeAutospacing="0" w:afterAutospacing="0"/>
        <w:ind w:firstLine="555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（</w:t>
      </w:r>
      <w:r>
        <w:rPr>
          <w:rFonts w:ascii="仿宋" w:eastAsia="仿宋" w:hAnsi="仿宋" w:cs="仿宋" w:hint="eastAsia"/>
          <w:color w:val="000000" w:themeColor="text1"/>
        </w:rPr>
        <w:t>1</w:t>
      </w:r>
      <w:r>
        <w:rPr>
          <w:rFonts w:ascii="仿宋" w:eastAsia="仿宋" w:hAnsi="仿宋" w:cs="仿宋" w:hint="eastAsia"/>
          <w:color w:val="000000" w:themeColor="text1"/>
        </w:rPr>
        <w:t>）</w:t>
      </w:r>
      <w:r>
        <w:rPr>
          <w:rFonts w:ascii="仿宋" w:eastAsia="仿宋" w:hAnsi="仿宋" w:cs="仿宋" w:hint="eastAsia"/>
          <w:color w:val="000000" w:themeColor="text1"/>
        </w:rPr>
        <w:t>验第二代身份证、学生证原件，交复印件（身份证复印正反面，学生证复印学生信息和注册情况）；</w:t>
      </w:r>
    </w:p>
    <w:p w14:paraId="6890AF5D" w14:textId="77777777" w:rsidR="002C2883" w:rsidRDefault="0091219C">
      <w:pPr>
        <w:pStyle w:val="a3"/>
        <w:widowControl/>
        <w:spacing w:beforeAutospacing="0" w:afterAutospacing="0"/>
        <w:ind w:firstLine="555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（</w:t>
      </w:r>
      <w:r>
        <w:rPr>
          <w:rFonts w:ascii="仿宋" w:eastAsia="仿宋" w:hAnsi="仿宋" w:cs="仿宋" w:hint="eastAsia"/>
          <w:color w:val="000000" w:themeColor="text1"/>
        </w:rPr>
        <w:t>2</w:t>
      </w:r>
      <w:r>
        <w:rPr>
          <w:rFonts w:ascii="仿宋" w:eastAsia="仿宋" w:hAnsi="仿宋" w:cs="仿宋" w:hint="eastAsia"/>
          <w:color w:val="000000" w:themeColor="text1"/>
        </w:rPr>
        <w:t>）</w:t>
      </w:r>
      <w:r>
        <w:rPr>
          <w:rFonts w:ascii="仿宋" w:eastAsia="仿宋" w:hAnsi="仿宋" w:cs="仿宋" w:hint="eastAsia"/>
          <w:color w:val="000000" w:themeColor="text1"/>
        </w:rPr>
        <w:t>历年在校学习成绩单原件，并加盖推荐院校教务处公章；</w:t>
      </w:r>
    </w:p>
    <w:p w14:paraId="11A47355" w14:textId="77777777" w:rsidR="002C2883" w:rsidRDefault="0091219C">
      <w:pPr>
        <w:pStyle w:val="a3"/>
        <w:widowControl/>
        <w:spacing w:beforeAutospacing="0" w:afterAutospacing="0"/>
        <w:ind w:firstLine="555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（</w:t>
      </w:r>
      <w:r>
        <w:rPr>
          <w:rFonts w:ascii="仿宋" w:eastAsia="仿宋" w:hAnsi="仿宋" w:cs="仿宋" w:hint="eastAsia"/>
          <w:color w:val="000000" w:themeColor="text1"/>
        </w:rPr>
        <w:t>3</w:t>
      </w:r>
      <w:r>
        <w:rPr>
          <w:rFonts w:ascii="仿宋" w:eastAsia="仿宋" w:hAnsi="仿宋" w:cs="仿宋" w:hint="eastAsia"/>
          <w:color w:val="000000" w:themeColor="text1"/>
        </w:rPr>
        <w:t>）</w:t>
      </w:r>
      <w:r>
        <w:rPr>
          <w:rFonts w:ascii="仿宋" w:eastAsia="仿宋" w:hAnsi="仿宋" w:cs="仿宋" w:hint="eastAsia"/>
          <w:color w:val="000000" w:themeColor="text1"/>
        </w:rPr>
        <w:t>其他有关材料（如大学英语四、六级考试成绩单复印件，其他获奖证书、本人代表性学术论文、出版物或原创性工作成果等）复印件。</w:t>
      </w:r>
    </w:p>
    <w:p w14:paraId="6CE9309C" w14:textId="77777777" w:rsidR="002C2883" w:rsidRDefault="0091219C">
      <w:pPr>
        <w:pStyle w:val="a3"/>
        <w:widowControl/>
        <w:spacing w:beforeAutospacing="0" w:afterAutospacing="0"/>
        <w:ind w:firstLine="555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5</w:t>
      </w:r>
      <w:r>
        <w:rPr>
          <w:rFonts w:ascii="仿宋" w:eastAsia="仿宋" w:hAnsi="仿宋" w:cs="仿宋" w:hint="eastAsia"/>
          <w:color w:val="000000" w:themeColor="text1"/>
        </w:rPr>
        <w:t>、复试内容包括：专业课笔试</w:t>
      </w:r>
      <w:r>
        <w:rPr>
          <w:rFonts w:ascii="仿宋" w:eastAsia="仿宋" w:hAnsi="仿宋" w:cs="仿宋" w:hint="eastAsia"/>
          <w:color w:val="000000" w:themeColor="text1"/>
        </w:rPr>
        <w:t>、</w:t>
      </w:r>
      <w:r>
        <w:rPr>
          <w:rFonts w:ascii="仿宋" w:eastAsia="仿宋" w:hAnsi="仿宋" w:cs="仿宋" w:hint="eastAsia"/>
          <w:color w:val="000000" w:themeColor="text1"/>
        </w:rPr>
        <w:t>综合面试</w:t>
      </w:r>
      <w:r>
        <w:rPr>
          <w:rFonts w:ascii="仿宋" w:eastAsia="仿宋" w:hAnsi="仿宋" w:cs="仿宋" w:hint="eastAsia"/>
          <w:color w:val="000000" w:themeColor="text1"/>
        </w:rPr>
        <w:t>、</w:t>
      </w:r>
      <w:r>
        <w:rPr>
          <w:rFonts w:ascii="仿宋" w:eastAsia="仿宋" w:hAnsi="仿宋" w:cs="仿宋" w:hint="eastAsia"/>
          <w:color w:val="000000" w:themeColor="text1"/>
        </w:rPr>
        <w:t>跨一级学科申请免试攻读研究生的申请人，由学院决定是否需要在复试时加试一门专业课。</w:t>
      </w:r>
    </w:p>
    <w:p w14:paraId="48FABB5F" w14:textId="77777777" w:rsidR="002C2883" w:rsidRDefault="0091219C">
      <w:pPr>
        <w:pStyle w:val="a3"/>
        <w:widowControl/>
        <w:spacing w:beforeAutospacing="0" w:afterAutospacing="0"/>
        <w:ind w:firstLine="555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6</w:t>
      </w:r>
      <w:r>
        <w:rPr>
          <w:rFonts w:ascii="仿宋" w:eastAsia="仿宋" w:hAnsi="仿宋" w:cs="仿宋" w:hint="eastAsia"/>
          <w:color w:val="000000" w:themeColor="text1"/>
        </w:rPr>
        <w:t>、复试将根据实际情况采取线上或者线下的形式进行。</w:t>
      </w:r>
    </w:p>
    <w:p w14:paraId="55F2F82A" w14:textId="77777777" w:rsidR="002C2883" w:rsidRDefault="0091219C">
      <w:pPr>
        <w:pStyle w:val="a3"/>
        <w:widowControl/>
        <w:spacing w:beforeAutospacing="0" w:afterAutospacing="0"/>
        <w:ind w:firstLine="555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具体详见《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南昌大学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202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年接收推荐免试研究生招生章程</w:t>
      </w:r>
      <w:r>
        <w:rPr>
          <w:rFonts w:ascii="仿宋" w:eastAsia="仿宋" w:hAnsi="仿宋" w:cs="仿宋" w:hint="eastAsia"/>
          <w:color w:val="000000" w:themeColor="text1"/>
          <w:shd w:val="clear" w:color="auto" w:fill="FFFFFF"/>
        </w:rPr>
        <w:t>》</w:t>
      </w:r>
    </w:p>
    <w:p w14:paraId="65273620" w14:textId="77777777" w:rsidR="002C2883" w:rsidRDefault="0091219C">
      <w:pPr>
        <w:rPr>
          <w:rFonts w:ascii="仿宋" w:eastAsia="仿宋" w:hAnsi="仿宋" w:cs="仿宋"/>
          <w:color w:val="000000" w:themeColor="text1"/>
          <w:sz w:val="24"/>
          <w:shd w:val="clear" w:color="auto" w:fill="FFFFFF"/>
        </w:rPr>
      </w:pPr>
      <w:r>
        <w:rPr>
          <w:rFonts w:ascii="仿宋" w:eastAsia="仿宋" w:hAnsi="仿宋" w:cs="仿宋" w:hint="eastAsia"/>
          <w:noProof/>
          <w:color w:val="000000" w:themeColor="text1"/>
          <w:sz w:val="24"/>
          <w:shd w:val="clear" w:color="auto" w:fill="FFFFFF"/>
        </w:rPr>
        <w:drawing>
          <wp:inline distT="0" distB="0" distL="114300" distR="114300" wp14:anchorId="5B87B9AB" wp14:editId="00EABF86">
            <wp:extent cx="5266690" cy="3061335"/>
            <wp:effectExtent l="0" t="0" r="10160" b="5715"/>
            <wp:docPr id="18" name="图片 18" descr="src=http-%2F%2Fimg.zcool.cn%2Fcommunity%2F01cd59596f54f3a8012193a330bcbc.jpg@1280w_1l_2o_100sh.jpg&amp;refer=http-%2F%2Fimg.zc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src=http-%2F%2Fimg.zcool.cn%2Fcommunity%2F01cd59596f54f3a8012193a330bcbc.jpg@1280w_1l_2o_100sh.jpg&amp;refer=http-%2F%2Fimg.zcool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6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2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4B716" w14:textId="77777777" w:rsidR="0091219C" w:rsidRDefault="0091219C" w:rsidP="00044BC5">
      <w:r>
        <w:separator/>
      </w:r>
    </w:p>
  </w:endnote>
  <w:endnote w:type="continuationSeparator" w:id="0">
    <w:p w14:paraId="3F98FA14" w14:textId="77777777" w:rsidR="0091219C" w:rsidRDefault="0091219C" w:rsidP="0004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DA6EF" w14:textId="77777777" w:rsidR="0091219C" w:rsidRDefault="0091219C" w:rsidP="00044BC5">
      <w:r>
        <w:separator/>
      </w:r>
    </w:p>
  </w:footnote>
  <w:footnote w:type="continuationSeparator" w:id="0">
    <w:p w14:paraId="526217BC" w14:textId="77777777" w:rsidR="0091219C" w:rsidRDefault="0091219C" w:rsidP="00044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DFD1162"/>
    <w:rsid w:val="00044BC5"/>
    <w:rsid w:val="002C2883"/>
    <w:rsid w:val="0091219C"/>
    <w:rsid w:val="344F4B2D"/>
    <w:rsid w:val="3DFD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9412ED"/>
  <w15:docId w15:val="{27672D96-BC9C-49F5-B205-28A53B43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044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44B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044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44B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z.chsi.com.cn/tm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Cheng， Mai</cp:lastModifiedBy>
  <cp:revision>2</cp:revision>
  <dcterms:created xsi:type="dcterms:W3CDTF">2021-09-16T02:21:00Z</dcterms:created>
  <dcterms:modified xsi:type="dcterms:W3CDTF">2021-09-16T02:21:00Z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